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>
        <w:t xml:space="preserve">Sabin </w:t>
      </w:r>
      <w:proofErr w:type="spellStart"/>
      <w:r>
        <w:t>LUTC</w:t>
      </w:r>
      <w:proofErr w:type="spellEnd"/>
      <w:r>
        <w:t xml:space="preserve"> Minutes</w:t>
      </w:r>
    </w:p>
    <w:p>
      <w:r>
        <w:t>October 10, 2016</w:t>
      </w:r>
    </w:p>
    <w:p>
      <w:r>
        <w:t>8:30 pm</w:t>
      </w:r>
    </w:p>
    <w:p>
      <w:r>
        <w:t xml:space="preserve">Mt. Bachelor Room </w:t>
      </w:r>
    </w:p>
    <w:p/>
    <w:p>
      <w:r>
        <w:t>Attendees:</w:t>
      </w:r>
    </w:p>
    <w:p>
      <w:pPr>
        <w:rPr>
          <w:i/>
        </w:rPr>
      </w:pPr>
      <w:r>
        <w:rPr>
          <w:i/>
        </w:rPr>
        <w:t>Rachel Lee</w:t>
      </w:r>
    </w:p>
    <w:p>
      <w:pPr>
        <w:rPr>
          <w:i/>
        </w:rPr>
      </w:pPr>
      <w:r>
        <w:rPr>
          <w:i/>
        </w:rPr>
        <w:t>Kirke Wolfe</w:t>
      </w:r>
    </w:p>
    <w:p/>
    <w:p>
      <w:pPr>
        <w:pStyle w:val="ListParagraph"/>
        <w:numPr>
          <w:ilvl w:val="0"/>
          <w:numId w:val="5"/>
        </w:numPr>
        <w:ind w:left="360"/>
      </w:pPr>
      <w:r>
        <w:t>September minutes approved unanimously.</w:t>
      </w:r>
    </w:p>
    <w:p/>
    <w:p>
      <w:pPr>
        <w:pStyle w:val="ListParagraph"/>
        <w:numPr>
          <w:ilvl w:val="0"/>
          <w:numId w:val="5"/>
        </w:numPr>
        <w:ind w:left="360"/>
      </w:pPr>
      <w:r>
        <w:t>Follow-up re new City Code provisions re garages &amp; setbacks.  The new code allows garages within the setbacks without a variance, if certain requirements are met.  Last month’s proposal for a garage that extended beyond the previous footprint met those requirements.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 xml:space="preserve">Liquor license renewals occur annually, with an opportunity to comment if </w:t>
      </w:r>
      <w:proofErr w:type="spellStart"/>
      <w:r>
        <w:t>SCA</w:t>
      </w:r>
      <w:proofErr w:type="spellEnd"/>
      <w:r>
        <w:t xml:space="preserve"> perceives a problem with any local establishment.  We aren’t aware of any issues that would warrant comment this year.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 xml:space="preserve">Residential Infill Project:  There will be City Council hearings in November, and </w:t>
      </w:r>
      <w:proofErr w:type="spellStart"/>
      <w:r>
        <w:t>SCA</w:t>
      </w:r>
      <w:proofErr w:type="spellEnd"/>
      <w:r>
        <w:t xml:space="preserve"> has been asked to endorse the Portland for Everyone position.  Kirke attended the Missing Middle event on October 7 and brought informational materials back.  There is absolutely a real need to make housing less unaffordable, and </w:t>
      </w:r>
      <w:proofErr w:type="spellStart"/>
      <w:r>
        <w:t>SCA</w:t>
      </w:r>
      <w:proofErr w:type="spellEnd"/>
      <w:r>
        <w:t xml:space="preserve"> has traditionally supporting increasing density.  But the proposal to City Council appears to assume that building costs are what drive the unaffordability of housing, rather than supply &amp; demand for housing.  If supply &amp; demand are the drivers, then the proposal will make housing less unaffordable only to the extent that it leads to the construction of a significant number of new units (which will likely be accompanied by a significant number of demolitions).  These are difficult issues, and we don’t have a definite recommendation for the </w:t>
      </w:r>
      <w:proofErr w:type="spellStart"/>
      <w:r>
        <w:t>SCA</w:t>
      </w:r>
      <w:proofErr w:type="spellEnd"/>
      <w:r>
        <w:t xml:space="preserve"> Board.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FB76D-B818-4115-8DC9-B583EB1A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2</cp:revision>
  <cp:lastPrinted>2014-01-08T17:00:00Z</cp:lastPrinted>
  <dcterms:created xsi:type="dcterms:W3CDTF">2017-04-10T16:13:00Z</dcterms:created>
  <dcterms:modified xsi:type="dcterms:W3CDTF">2017-04-10T16:13:00Z</dcterms:modified>
</cp:coreProperties>
</file>