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Sabin </w:t>
      </w:r>
      <w:proofErr w:type="spellStart"/>
      <w:r>
        <w:t>LUTC</w:t>
      </w:r>
      <w:proofErr w:type="spellEnd"/>
      <w:r>
        <w:t xml:space="preserve"> Agenda</w:t>
      </w:r>
    </w:p>
    <w:p>
      <w:r>
        <w:t>March 13, 2017</w:t>
      </w:r>
    </w:p>
    <w:p>
      <w:r>
        <w:t>8:30 pm</w:t>
      </w:r>
    </w:p>
    <w:p>
      <w:r>
        <w:t xml:space="preserve">Sabin School auditorium </w:t>
      </w:r>
    </w:p>
    <w:p/>
    <w:p/>
    <w:p>
      <w:pPr>
        <w:pStyle w:val="ListParagraph"/>
        <w:numPr>
          <w:ilvl w:val="0"/>
          <w:numId w:val="5"/>
        </w:numPr>
        <w:ind w:left="360"/>
      </w:pPr>
      <w:r>
        <w:t>Approve February minutes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>Major alteration notice:  3917 NE 14th Ave (March 22)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>Demolition notice:  1735 NE Skidmore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 xml:space="preserve">Move </w:t>
      </w:r>
      <w:proofErr w:type="spellStart"/>
      <w:r>
        <w:t>LUTC</w:t>
      </w:r>
      <w:proofErr w:type="spellEnd"/>
      <w:r>
        <w:t xml:space="preserve"> meetings back to first Wednesday of month, at Whole Foods</w:t>
      </w:r>
      <w:bookmarkStart w:id="0" w:name="_GoBack"/>
      <w:bookmarkEnd w:id="0"/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2673-57A0-4EC0-B4EC-C5363A7D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5</cp:revision>
  <cp:lastPrinted>2014-01-08T17:00:00Z</cp:lastPrinted>
  <dcterms:created xsi:type="dcterms:W3CDTF">2017-02-16T14:54:00Z</dcterms:created>
  <dcterms:modified xsi:type="dcterms:W3CDTF">2017-03-08T00:53:00Z</dcterms:modified>
</cp:coreProperties>
</file>