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Sabin LUTC Minutes</w:t>
      </w:r>
    </w:p>
    <w:p>
      <w:r>
        <w:t>October 1, 2018</w:t>
      </w:r>
    </w:p>
    <w:p>
      <w:r>
        <w:t>7:00 pm</w:t>
      </w:r>
    </w:p>
    <w:p>
      <w:r>
        <w:t xml:space="preserve">Whole Foods, Mt. Bachelor room </w:t>
      </w:r>
    </w:p>
    <w:p/>
    <w:p>
      <w:pPr>
        <w:rPr>
          <w:u w:val="single"/>
        </w:rPr>
      </w:pPr>
      <w:r>
        <w:rPr>
          <w:u w:val="single"/>
        </w:rPr>
        <w:t>In Attendance</w:t>
      </w:r>
    </w:p>
    <w:p>
      <w:r>
        <w:t>Rachel Lee</w:t>
      </w:r>
    </w:p>
    <w:p>
      <w:r>
        <w:t>Kirke Wolfe</w:t>
      </w:r>
    </w:p>
    <w:p>
      <w:r>
        <w:t>Asher Atkinson</w:t>
      </w:r>
    </w:p>
    <w:p/>
    <w:p>
      <w:pPr>
        <w:pStyle w:val="ListParagraph"/>
        <w:numPr>
          <w:ilvl w:val="0"/>
          <w:numId w:val="5"/>
        </w:numPr>
        <w:ind w:left="360"/>
      </w:pPr>
      <w:r>
        <w:t>Kirke moves to approve the September minutes without change.  Asher seconds.  Motion passes unanimously, no abstentions.</w:t>
      </w:r>
    </w:p>
    <w:p>
      <w:pPr>
        <w:pStyle w:val="ListParagraph"/>
        <w:ind w:left="360"/>
      </w:pPr>
    </w:p>
    <w:p>
      <w:pPr>
        <w:pStyle w:val="ListParagraph"/>
        <w:numPr>
          <w:ilvl w:val="0"/>
          <w:numId w:val="5"/>
        </w:numPr>
        <w:ind w:left="360"/>
      </w:pPr>
      <w:r>
        <w:t xml:space="preserve">The LUTC discusses draft resolutions for the October Board meeting which would: appoint members of the LUTC and its chair, define the purpose and duties of the LUTC, delegate authority to it, set its principles and priorities, set its quorum and procedures, and expressly authorize the LUTC chair to move the meeting location, including potentially to Maranatha Church (if meeting space there is available, which we have not looked into yet).  Kirke and Asher suggested several changes to the draft resolutions, and Rachel will take the revised drafts to the SCA Board.   </w:t>
      </w:r>
    </w:p>
    <w:p>
      <w:pPr>
        <w:pStyle w:val="ListParagraph"/>
        <w:ind w:left="360"/>
      </w:pPr>
      <w:r>
        <w:t xml:space="preserve"> </w:t>
      </w:r>
    </w:p>
    <w:p>
      <w:pPr>
        <w:pStyle w:val="ListParagraph"/>
        <w:numPr>
          <w:ilvl w:val="0"/>
          <w:numId w:val="5"/>
        </w:numPr>
        <w:ind w:left="360"/>
      </w:pPr>
      <w:r>
        <w:t xml:space="preserve">Rachel reports on the status of PBOT’s Central City in Motion project.  The public comment on the current phase of the planning is now closed, but we anticipate there may be another comment opportunity in the November to January time frame.  To help prepare the LUTC for that, Asher will do some investigation on two projects in inner NE Portland that were ranked relatively high on the survey results from the last phase of public input (NE MLK/Grand/6th/7th and NE Broadway/Weidler). </w:t>
      </w: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47AA-9BBD-459A-AE13-E1BBD4CC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2018-11-10T20:19:00Z</dcterms:created>
  <dcterms:modified xsi:type="dcterms:W3CDTF">2018-11-10T20:19:00Z</dcterms:modified>
</cp:coreProperties>
</file>