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November 5, 2018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October minutes.  *vote*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Update:  Board resolutions re </w:t>
      </w:r>
      <w:proofErr w:type="spellStart"/>
      <w:r>
        <w:t>LUTC</w:t>
      </w:r>
      <w:proofErr w:type="spellEnd"/>
      <w:r>
        <w:t xml:space="preserve"> membership, procedures, authority </w:t>
      </w:r>
    </w:p>
    <w:p>
      <w:pPr>
        <w:pStyle w:val="ListParagraph"/>
        <w:ind w:left="360"/>
      </w:pPr>
      <w:r>
        <w:t xml:space="preserve"> </w:t>
      </w:r>
    </w:p>
    <w:p>
      <w:pPr>
        <w:pStyle w:val="ListParagraph"/>
        <w:numPr>
          <w:ilvl w:val="0"/>
          <w:numId w:val="5"/>
        </w:numPr>
        <w:ind w:left="360"/>
      </w:pPr>
      <w:r>
        <w:t xml:space="preserve">Discuss having someone contact Maranatha re potential </w:t>
      </w:r>
      <w:proofErr w:type="spellStart"/>
      <w:r>
        <w:t>LUTC</w:t>
      </w:r>
      <w:proofErr w:type="spellEnd"/>
      <w:r>
        <w:t xml:space="preserve"> meeting space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Opportunity to comment on land use proposal:  1217 NE Mason.  </w:t>
      </w:r>
      <w:r>
        <w:t>*vote*</w:t>
      </w:r>
      <w:r>
        <w:t xml:space="preserve"> 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Update:  Central City in Motion 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Prescott update:  </w:t>
      </w:r>
      <w:proofErr w:type="spellStart"/>
      <w:r>
        <w:t>ODOT</w:t>
      </w:r>
      <w:proofErr w:type="spellEnd"/>
      <w:r>
        <w:t xml:space="preserve"> approved reducing the speed limit to 25 MPH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170E-F360-4588-A709-3FF3E3ED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7</cp:revision>
  <cp:lastPrinted>2018-05-07T19:23:00Z</cp:lastPrinted>
  <dcterms:created xsi:type="dcterms:W3CDTF">2018-10-03T16:49:00Z</dcterms:created>
  <dcterms:modified xsi:type="dcterms:W3CDTF">2018-10-30T02:05:00Z</dcterms:modified>
</cp:coreProperties>
</file>