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Sabin LUTC Agenda</w:t>
      </w:r>
    </w:p>
    <w:p>
      <w:r>
        <w:t>January 7, 2019</w:t>
      </w:r>
    </w:p>
    <w:p>
      <w:r>
        <w:t>7:00 pm</w:t>
      </w:r>
    </w:p>
    <w:p>
      <w:r>
        <w:t>3223 NE 14th</w:t>
      </w:r>
    </w:p>
    <w:p/>
    <w:p/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Approve November minutes.  </w:t>
      </w:r>
      <w:r>
        <w:br/>
        <w:t>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Letter to PBOT requesting traffic study &amp; appropriate design modifications on Prescott.  *VOTE*  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Letter to PBOT requesting that Failing and 14th Ave Greenways projects be prioritized.  *VOTE*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Potential change of meeting location to Maranatha?</w:t>
      </w:r>
      <w:r>
        <w:br/>
        <w:t>*POTENTIAL VOTE*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Type B short-term rental application: 1415 NE Going.  Comments due January 17.</w:t>
      </w:r>
      <w:r>
        <w:br/>
        <w:t xml:space="preserve">*VOTE*  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Public meeting for pre-application conference re proposal to divide lot at SE corner of 15th &amp; Fremont: Jan. 10, 10:30 AM, 1900 SW 4th Ave, 4th Floor, Room 4a</w:t>
      </w:r>
      <w:bookmarkStart w:id="0" w:name="_GoBack"/>
      <w:bookmarkEnd w:id="0"/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Major alteration notice:   4057 NE 12th St, 2-story addition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 notice: 4515 NE 19th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Report BDS decision re 1217 NE Mason.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Bike challenge—any request to SCA Board?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Update:  Central City in Motion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Update:  Lloyd/Woodlawn Greenway</w:t>
      </w:r>
    </w:p>
    <w:p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p>
      <w:pPr>
        <w:pStyle w:val="ListParagraph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separator/>
      </w:r>
    </w:p>
    <w:p>
      <w:pPr>
        <w:pStyle w:val="Footer"/>
      </w:pPr>
      <w:r>
        <w:t>(. . . continued)</w:t>
      </w:r>
    </w:p>
  </w:footnote>
  <w:footnote w:type="continuationNotice" w:id="1">
    <w:p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02B49-6B6D-49CB-9093-D3E4BF14B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2019-01-06T15:21:00Z</dcterms:created>
  <dcterms:modified xsi:type="dcterms:W3CDTF">2019-01-06T15:24:00Z</dcterms:modified>
</cp:coreProperties>
</file>